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4112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81"/>
        <w:gridCol w:w="1321"/>
        <w:gridCol w:w="2310"/>
        <w:gridCol w:w="2311"/>
        <w:gridCol w:w="2311"/>
        <w:gridCol w:w="2311"/>
        <w:gridCol w:w="2311"/>
        <w:gridCol w:w="356"/>
      </w:tblGrid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Centro de Convivência Internacional – Espaço Fulbright</w:t>
            </w:r>
          </w:p>
        </w:tc>
        <w:tc>
          <w:tcPr>
            <w:tcW w:w="59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US Network for Democracy in Brazil – Apresentação da rede e discussão de atividades para o ano 2026-27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Sessão Especial: “Os ‘índios’ que não tinham nome” exibição do documentário seguida de debate com o autor e convidados.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1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A Ciência Peculiar de Joaquim Antonio Alves Ribeiro: Ceará–Harvard–Ceará. Teresina-PI: Editora Cancioneiro, 2024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Diálogos em tempos difíceis: decifrando a gramática da nova extrema direita. Editora Fósforo, 2026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10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A modernização do ensino médico: Fundação Rockefeller, circulação do conhecimento e comunismo nas Américas. São Paulo: Hucitec Editora, 2026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À esquerda das forças armadas brasileiras: histórias de vida de militares perseguidos e anistiados políticos 1ª ed. São Paulo: Alpharrabio Edições, 2024.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2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Brazil’s Sex Wars: The Aesthetics of Queer Activism in São Paulo 1ª ed. Austin: University of Texas Press, 2024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A serviço da repressão: grupo Folha e violações de direitos na ditadura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3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Exposições e conexões internacionais no Museu de Arte Moderna do Rio de Janeiro (1948–1978) São Paulo: Editora Intermeios, 2025.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Dictatorship across Borders: Brazil, Chile, and the South American Cold War. The University of North Carolina Press, 2025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4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Indigeneity and the Decolonizing Gaze: Transnational Imaginaries, Media Aesthetics, and Social Thought. Bloomsbury, 2023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Brazilian Belonging: Jewish Politics in Cold War Latin America. Stanford University Press, julho de 2025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5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Living and Dying in São Paulo: Immigrants, Health, and the Built Environment in Brazil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Justiça abortada: a vida reprodutiva das mulheres e a lei no Brasil, início do século XX. São Paulo: Hucitec Editora, 2024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6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Moved by the Dead: Haunting and Devotion in São Paulo, Brazil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Dessenhorizando a Universidade: duas décadas da política de cotas na Universidade de Brasília Rio de Janeiro: Editora Telha, 549 páginas.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7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Romantismo Paulistano em Contos Acadêmicos (1848–1865). Editora da Universidade de São Paulo (Edusp), 2026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Direito à cidade em Cachoeira-BA: espaço urbano, política e resistência. Curitiba: CRV, 2026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8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As sereias que conheci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Políticas públicas estruturantes para o Brasil do século XXI. Curitiba: Appris, 2023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Biblioteca Reitor Macedo Costa</w:t>
            </w:r>
            <w:r>
              <w:rPr/>
              <w:br/>
            </w:r>
            <w:r>
              <w:rPr>
                <w:rStyle w:val="Normaltext"/>
              </w:rPr>
              <w:t>Sala de Leitura – Estação 9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 Aracy de Carvalho and Jewish Rescue from 1930s Germany: A Righteous Brazilian (Palgrave, 2025)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AMR – A Galaxia Lombroso (Edunicamp 2025)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Escola de Dança</w:t>
            </w:r>
            <w:r>
              <w:rPr/>
              <w:br/>
            </w:r>
            <w:r>
              <w:rPr>
                <w:rStyle w:val="Normaltext"/>
              </w:rPr>
              <w:t>Sala 24</w:t>
            </w:r>
          </w:p>
        </w:tc>
        <w:tc>
          <w:tcPr>
            <w:tcW w:w="105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Samba Afro Percussion Workshop with Mestre Mário Pam, Master Drummer and Director of Band’Aiyê (Ilê Aiyê) e Tambores do Mundo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Educação e esperança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Ações afirmativas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Tecnologia e educação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Ambiguidades da Inteligência Artificial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Uso Reflexivo de Tecnologias de IA Generativa na Universidade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10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Escravização, resistência e a promessa de liberdade 1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Escravização, resistência e a promessa de liberdade 2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Escravização, resistência e a promessa de liberdade 3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Escravização, resistência e a promessa de liberdade 4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Performance, Exchange, and Afro-Diasporic Collaboration: From New Orleans to Bahia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11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Mulheres na literatura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Ativismo feminino negro 1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Ativismo feminino negro 2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Feminismos e ativismo feminino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Decolonizing the Digital Humanities: Gender, Labor, and Public History from Salvador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12</w:t>
            </w:r>
          </w:p>
        </w:tc>
        <w:tc>
          <w:tcPr>
            <w:tcW w:w="36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Tradução em estudos brasileiros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Periódicos como fonte e objeto de estudos brasileiros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Violencia, Justiça e Reparação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13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Performance Negra e Patrimônio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Amazônia em Disputa: Narrativas, Epistemologias e Futuros Políticos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Religião e sociedade 1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Religião e sociedade 2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14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Memória e memorialização 1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Memória e memorialização 2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Artes, produtos culturais e artefatos em estudos brasileiros 1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Artes, produtos culturais e artefatos em estudos brasileiros 2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15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Margens, subalternidade e formas de enunciação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Cinema, imagem e regimes de visualidade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Corpo, performance e práticas estéticas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Glissant como inspiração para os estudos brasileiros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16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Intelectualidade brasileira em circulação 1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Intelectualidade brasileira em circulação 2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 construção do imaginário sobre o Brasil 1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 construção do imaginário sobre o Brasil 2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17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Academic Freedom and Democratic Crises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 Circulação Global do Audiovisual Brasileiro no Século XXI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 Contrarreforma do Ensino Médio no Brasil: oposições e resistências na Educação Básica e Superior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 cultura brasileira nas redes negras internacionais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18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Arquipélagos Atlânticos: relação, criação e diferença em mundos afro-diaspóricos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As Formas da Emancipação: Arte e Tradições intelectuais negras no Brasil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 urbanidade em disputa: a construção social do espaço no Rio de Janeiro (séc. XIX-XX)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Autoritarismo e território no Brasil, da Independência ao presente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19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Brasil na fronteira: trânsitos com a América Hispânica na produção cultural em espanhol e português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Brasil-Ruína: montagens e desmontagens do passado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Brazil Femme: Public Femininities and the Post-Impeachment Malaise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Capoeira’s Porous Borders: Knowledge Production, Hierarchies, and Global Circulations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Reimaginando a Bahia em videojogos e quadrinhos: uma conversa com Filipe Pereira e Hugo Canuto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Corpos, experiências e resistência: Representações da violência na literatura brasileira contemporânea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Corpos negros em conexões atlânticas: medicina, gênero, saúde, raça e educação na escravidão e nos pós-emancipação nos séculos XIX e XX. PARTE 1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Corpos negros em conexões atlânticas: medicina, gênero, saúde, raça e educação na escravidão e nos pós-emancipação nos séculos XIX e XX. PARTE 2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Corpos negros em conexões atlânticas: medicina, gênero, saúde, raça e educação na escravidão e nos pós-emancipação nos séculos XIX e XX. PARTE 3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20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Diálogos pedagógicos e museológicos sobre escravidão, extremismos e genocídios: perspectivas a partir da cooperação NIEJ/UFRJ e Unipinhal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Diasporic Disruptions: Queer Nightlife, Heritage Tourism, and the Aesthetics of Resistance in Salvador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Dimensões sociais da saúde, doença e dos sistemas de saúde na história do Brasil:  desigualdades, contextos culturais e estruturas institucionais.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Carnaval Negro: Quando o Arquivo Cai no Samba 1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Carnaval Negro: Quando o Arquivo Cai no Samba 2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21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Energia limpa e saberes indígenas: práticas, aprendizagens e transformações no Baixo Oiapoque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Entre memórias dissidentes e fabulações urbanas: raça, gênero e (in)visibilidades nos arquivos visuais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Entre o visível e o vivido: Arte, pensamento e memória em espaços de negritude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"Escândalo!" – Lesbian Lusophone Archives From the 19th Century to the Present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22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Explorando os arquivos da Diáspora Mina: línguas e etnicidades entre o Brasil e o Benim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Extractive Landscapes in the Visual Cultures of Brazil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Família, reprodução e maternidade: novos olhares sobre corpo, resistência e mulheres negras escravizadas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Fazer História Negra no Planalto Central: Aquilombamentos, Territórios e Memórias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23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Formas Contemporâneas de Resistência Cultural na Arte e na Literatura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Freedom and Coercion across Borders: Brazil and the Río de la Plata, Eighteenth and Nineteenth Centuries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Futebóis, mídia e pesquisa no Nordeste brasileiro - Sessão 1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Futebóis, mídia e pesquisa no Nordeste brasileiro - Sessão 2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24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Impérios Ibéricos no Mundo Atlântico: as múltiplas engrenagens do poder colonial (sécs. XVII – XIX)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Influências Transnacionais: Imaginários Políticos na Circulação de Mídias, Práticas e Materiais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Institutional change and electoral reform in 21st Century in Brazil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Intelectuais negros, hoje e na história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25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Intersections of Gender II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Liderança Negra, Governança Universitária e Inovação Psicossocial para o Bem Viver Estudantil no Brasil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Judeidade e debates pós-coloniais: identidades, raça e gramática antissemita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Literatura brasileira contemporânea, gênero e violência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26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Masculinidades Negras, Raça e Poder no Atlântico: do Tráfico de Escravizados à Diplomacia Cultural do Século XX e às Lutas Contemporâneas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Memórias contagiosas: histórias e temporalidades das crises sanitárias brasileiras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Memórias das Matriarcas: os legados das mães de santo afro-brasileiras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Mercadores no comércio atlântico do Brasil colonial e imperial I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27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Novas Direções no Estudo de Raça e Racismo no Brasil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“</w:t>
            </w:r>
            <w:r>
              <w:rPr>
                <w:rStyle w:val="Normaltext"/>
              </w:rPr>
              <w:t>Novas Escalas de Brasília: Arquitetura, Cultura, e Resiliência”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Novas Perspectivas sobre a História de Energia Nuclear no Brasil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Novos olhares sobre os Sertões: História e Historiografia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28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Os intermediadores digitais do trabalho em ação: contextos e performances numa perspectiva transnacional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Os mundos imaginados pela arquitetura e pela literatura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Os Sentidos da Fome no Brasil: Vivências, Representações Culturais e Diálogos Multidisciplinares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Para além do claustro: o escrito religioso como fonte histórica Resumo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29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Práticas literárias pós-institucionais na contemporaneidade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Prostituição no Brasil no fim do primeiro tempo do Século XXI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“</w:t>
            </w:r>
            <w:r>
              <w:rPr>
                <w:rStyle w:val="Normaltext"/>
              </w:rPr>
              <w:t>Quilombolas e suas estratégias de articulação jurídica e mobilização política para a titulação e os direitos socioambientais no Terceiro Governo de Lula”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Raça, território e visualidades no Brasil do século XX: problemas e abordagens transdisciplinares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3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Repensar a "Periferia" na cultura brasileira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Repensar a "Periferia" na cultura brasileira II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Representações de mulheres: diferentes linguagens, identidades e meios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Reprodução em disputa: desigualdades, estigmatização e justiça reprodutiva no  Brasil e América Latina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30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Roundtable: New Interdisciplinary Perspectives on Diasporas and Belonging in Brazil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Segurança, desenvolvimento e governança econômica: o Brasil e a América Latina na Guerra Fria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Semióticas do pluralismo religioso: conflitos, mediação e políticas da diferença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Religiões e interculturalidades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4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The Language of Order: Discourse and Diplomacy in the Brazilian Right, Past and Present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Trabalho doméstico no Brasil contemporâneo: direitos trabalhistas e lutas políticas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Trabalho mais-que-humano em Mundos Atlânticos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Sexualidades não hegemônicas e contracultura nos anos 1970 (Sessão 2)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Translating Adé-Dúdú: Black Queer Diasporic Encounters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5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Between Disaster and Justice: Territorial Patterns of Climate Change Judicialization in Brazil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Crítica de autoria feminina no Brasil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Casa, Periferia, Campo e Corpo como Territórios em Disputa na Cultura Brasileira Contemporânea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Carolina Maria de Jesus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4:00p - 5:45p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Special session: Insurgent Archives – The Lélia Gonzalez Legacy, Linked Fate, and Collective Memory "From Below"</w:t>
            </w:r>
          </w:p>
        </w:tc>
        <w:tc>
          <w:tcPr>
            <w:tcW w:w="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6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Disputas e estratégias contra violências e desigualdades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Estéticas da vulnerabilidade: afeto e desapropriação nas produções brasileiras contemporâneas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Além da restituição; colonialismo interno, futuros, e vidas após a morte das coleções museográficas.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Jorge Amado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  <w:tr>
        <w:trPr>
          <w:cantSplit w:val="true"/>
        </w:trPr>
        <w:tc>
          <w:tcPr>
            <w:tcW w:w="881" w:type="dxa"/>
            <w:tcBorders/>
            <w:vAlign w:val="center"/>
          </w:tcPr>
          <w:p>
            <w:pPr>
              <w:pStyle w:val="Room"/>
              <w:bidi w:val="0"/>
              <w:jc w:val="right"/>
              <w:rPr/>
            </w:pPr>
            <w:r>
              <w:rPr>
                <w:rStyle w:val="Boldtext"/>
              </w:rPr>
              <w:t>Pavilhão de Aulas Glauber Rocha</w:t>
            </w:r>
            <w:r>
              <w:rPr/>
              <w:br/>
            </w:r>
            <w:r>
              <w:rPr>
                <w:rStyle w:val="Normaltext"/>
              </w:rPr>
              <w:t>Sala 7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  <w:tc>
          <w:tcPr>
            <w:tcW w:w="2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9:00a - 10:45a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Diplomacias e a construção histórica do estado nacional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10:45a - 12:30p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Relações internacionais e política externa brasileira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12:30p - 2:15p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O Brasil entre a cidade e o campo: o caso da Região Serrana Fluminense.</w:t>
            </w:r>
          </w:p>
        </w:tc>
        <w:tc>
          <w:tcPr>
            <w:tcW w:w="2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AFFAA" w:val="clear"/>
          </w:tcPr>
          <w:p>
            <w:pPr>
              <w:pStyle w:val="Eventtime"/>
              <w:bidi w:val="0"/>
              <w:jc w:val="center"/>
              <w:rPr/>
            </w:pPr>
            <w:r>
              <w:rPr>
                <w:rStyle w:val="Boldtext"/>
              </w:rPr>
              <w:t>2:15p - 4:00p</w:t>
            </w:r>
          </w:p>
          <w:p>
            <w:pPr>
              <w:pStyle w:val="Event"/>
              <w:bidi w:val="0"/>
              <w:jc w:val="left"/>
              <w:rPr/>
            </w:pPr>
            <w:r>
              <w:rPr>
                <w:rStyle w:val="Normaltext"/>
              </w:rPr>
              <w:t>Interiorização dos cuidados de saúde no Brasil: políticas, memórias e práticas no Nordeste Brasileiro (século XX)</w:t>
            </w:r>
          </w:p>
        </w:tc>
        <w:tc>
          <w:tcPr>
            <w:tcW w:w="26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Style w:val="Normaltext"/>
              </w:rPr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headerReference w:type="default" r:id="rId2"/>
      <w:type w:val="nextPage"/>
      <w:pgSz w:orient="landscape" w:w="15840" w:h="12240"/>
      <w:pgMar w:left="864" w:right="864" w:header="1440" w:top="2140" w:footer="0" w:bottom="144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">
    <w:altName w:val="Times New Roman"/>
    <w:charset w:val="01"/>
    <w:family w:val="auto"/>
    <w:pitch w:val="default"/>
  </w:font>
  <w:font w:name="StarSymbol">
    <w:altName w:val="Arial Unicode MS"/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4112" w:type="dxa"/>
      <w:jc w:val="left"/>
      <w:tblInd w:w="55" w:type="dxa"/>
      <w:tblCellMar>
        <w:top w:w="55" w:type="dxa"/>
        <w:left w:w="55" w:type="dxa"/>
        <w:bottom w:w="55" w:type="dxa"/>
        <w:right w:w="55" w:type="dxa"/>
      </w:tblCellMar>
    </w:tblPr>
    <w:tblGrid>
      <w:gridCol w:w="881"/>
      <w:gridCol w:w="1321"/>
      <w:gridCol w:w="1320"/>
      <w:gridCol w:w="1321"/>
      <w:gridCol w:w="1320"/>
      <w:gridCol w:w="1320"/>
      <w:gridCol w:w="1321"/>
      <w:gridCol w:w="1320"/>
      <w:gridCol w:w="1321"/>
      <w:gridCol w:w="1320"/>
      <w:gridCol w:w="1347"/>
    </w:tblGrid>
    <w:tr>
      <w:trPr>
        <w:cantSplit w:val="true"/>
      </w:trPr>
      <w:tc>
        <w:tcPr>
          <w:tcW w:w="881" w:type="dxa"/>
          <w:tcBorders/>
          <w:vAlign w:val="center"/>
        </w:tcPr>
        <w:p>
          <w:pPr>
            <w:pStyle w:val="Normal1"/>
            <w:bidi w:val="0"/>
            <w:jc w:val="left"/>
            <w:rPr/>
          </w:pPr>
          <w:r>
            <w:rPr>
              <w:rStyle w:val="Normaltext"/>
            </w:rPr>
            <w:t xml:space="preserve"> </w:t>
          </w:r>
        </w:p>
      </w:tc>
      <w:tc>
        <w:tcPr>
          <w:tcW w:w="13231" w:type="dxa"/>
          <w:gridSpan w:val="10"/>
          <w:tcBorders/>
          <w:tcMar>
            <w:top w:w="0" w:type="dxa"/>
            <w:left w:w="0" w:type="dxa"/>
            <w:bottom w:w="0" w:type="dxa"/>
            <w:right w:w="0" w:type="dxa"/>
          </w:tcMar>
        </w:tcPr>
        <w:p>
          <w:pPr>
            <w:pStyle w:val="Normal1"/>
            <w:bidi w:val="0"/>
            <w:jc w:val="left"/>
            <w:rPr/>
          </w:pPr>
          <w:r>
            <w:rPr>
              <w:rStyle w:val="Normaltext"/>
            </w:rPr>
            <w:t>Thursday July 9, 2026</w:t>
          </w:r>
        </w:p>
      </w:tc>
    </w:tr>
    <w:tr>
      <w:trPr>
        <w:cantSplit w:val="true"/>
      </w:trPr>
      <w:tc>
        <w:tcPr>
          <w:tcW w:w="881" w:type="dxa"/>
          <w:tcBorders/>
          <w:vAlign w:val="center"/>
        </w:tcPr>
        <w:p>
          <w:pPr>
            <w:pStyle w:val="Normal1"/>
            <w:bidi w:val="0"/>
            <w:jc w:val="left"/>
            <w:rPr/>
          </w:pPr>
          <w:r>
            <w:rPr>
              <w:rStyle w:val="Normaltext"/>
            </w:rPr>
            <w:t xml:space="preserve"> </w:t>
          </w:r>
        </w:p>
      </w:tc>
      <w:tc>
        <w:tcPr>
          <w:tcW w:w="132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8:00am</w:t>
          </w:r>
        </w:p>
      </w:tc>
      <w:tc>
        <w:tcPr>
          <w:tcW w:w="132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9:00am</w:t>
          </w:r>
        </w:p>
      </w:tc>
      <w:tc>
        <w:tcPr>
          <w:tcW w:w="132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10:00am</w:t>
          </w:r>
        </w:p>
      </w:tc>
      <w:tc>
        <w:tcPr>
          <w:tcW w:w="132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11:00am</w:t>
          </w:r>
        </w:p>
      </w:tc>
      <w:tc>
        <w:tcPr>
          <w:tcW w:w="132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12:00pm</w:t>
          </w:r>
        </w:p>
      </w:tc>
      <w:tc>
        <w:tcPr>
          <w:tcW w:w="132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1:00pm</w:t>
          </w:r>
        </w:p>
      </w:tc>
      <w:tc>
        <w:tcPr>
          <w:tcW w:w="132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2:00pm</w:t>
          </w:r>
        </w:p>
      </w:tc>
      <w:tc>
        <w:tcPr>
          <w:tcW w:w="132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3:00pm</w:t>
          </w:r>
        </w:p>
      </w:tc>
      <w:tc>
        <w:tcPr>
          <w:tcW w:w="132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4:00pm</w:t>
          </w:r>
        </w:p>
      </w:tc>
      <w:tc>
        <w:tcPr>
          <w:tcW w:w="1347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bidi w:val="0"/>
            <w:jc w:val="center"/>
            <w:rPr>
              <w:b w:val="false"/>
              <w:bCs w:val="false"/>
              <w:i w:val="false"/>
              <w:i w:val="false"/>
              <w:iCs w:val="false"/>
              <w:sz w:val="12"/>
              <w:szCs w:val="12"/>
            </w:rPr>
          </w:pPr>
          <w:r>
            <w:rPr>
              <w:rStyle w:val="Normaltext"/>
              <w:sz w:val="12"/>
              <w:szCs w:val="12"/>
            </w:rPr>
            <w:t>5:00pm</w:t>
          </w:r>
        </w:p>
      </w:tc>
    </w:tr>
  </w:tbl>
</w:hdr>
</file>

<file path=word/settings.xml><?xml version="1.0" encoding="utf-8"?>
<w:settings xmlns:w="http://schemas.openxmlformats.org/wordprocessingml/2006/main">
  <w:zoom w:percent="100"/>
  <w:defaultTabStop w:val="567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" w:hAnsi="Times" w:eastAsia="Bitstream Vera Sans" w:cs="Lucidasans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" w:hAnsi="Times" w:eastAsia="Bitstream Vera Sans" w:cs="Lucidasans"/>
      <w:color w:val="auto"/>
      <w:sz w:val="24"/>
      <w:szCs w:val="24"/>
      <w:lang w:val="en-US" w:eastAsia="en-US" w:bidi="en-US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StarSymbol" w:hAnsi="StarSymbol" w:eastAsia="StarSymbol" w:cs="StarSymbol"/>
      <w:sz w:val="24"/>
      <w:szCs w:val="24"/>
    </w:rPr>
  </w:style>
  <w:style w:type="character" w:styleId="Normaltext">
    <w:name w:val="normal_text"/>
    <w:qFormat/>
    <w:rPr>
      <w:b w:val="false"/>
      <w:bCs w:val="false"/>
      <w:i w:val="false"/>
      <w:iCs w:val="false"/>
    </w:rPr>
  </w:style>
  <w:style w:type="character" w:styleId="Boldtext">
    <w:name w:val="bold_text"/>
    <w:qFormat/>
    <w:rPr>
      <w:b/>
      <w:bCs/>
    </w:rPr>
  </w:style>
  <w:style w:type="character" w:styleId="Italictext">
    <w:name w:val="italic_text"/>
    <w:qFormat/>
    <w:rPr>
      <w:b w:val="false"/>
      <w:bCs w:val="false"/>
      <w:i/>
      <w:iCs/>
    </w:rPr>
  </w:style>
  <w:style w:type="character" w:styleId="Bolditalictext">
    <w:name w:val="bold_italic_text"/>
    <w:qFormat/>
    <w:rPr>
      <w:b/>
      <w:bCs/>
      <w:i/>
      <w:iCs/>
    </w:rPr>
  </w:style>
  <w:style w:type="character" w:styleId="Btext">
    <w:name w:val="b_text"/>
    <w:qFormat/>
    <w:rPr>
      <w:b/>
      <w:bCs/>
      <w:i w:val="false"/>
      <w:iCs w:val="false"/>
    </w:rPr>
  </w:style>
  <w:style w:type="character" w:styleId="Itext">
    <w:name w:val="i_text"/>
    <w:qFormat/>
    <w:rPr>
      <w:b w:val="false"/>
      <w:bCs w:val="false"/>
      <w:i/>
      <w:iCs/>
    </w:rPr>
  </w:style>
  <w:style w:type="character" w:styleId="Boldunderlinetext">
    <w:name w:val="bold_underline_text"/>
    <w:qFormat/>
    <w:rPr>
      <w:b/>
      <w:bCs/>
      <w:i w:val="false"/>
      <w:iCs w:val="false"/>
      <w:u w:val="single"/>
    </w:rPr>
  </w:style>
  <w:style w:type="character" w:styleId="Underlinetext">
    <w:name w:val="underline_text"/>
    <w:qFormat/>
    <w:rPr>
      <w:b w:val="false"/>
      <w:bCs w:val="false"/>
      <w:i w:val="false"/>
      <w:iCs w:val="false"/>
      <w:u w:val="single"/>
    </w:rPr>
  </w:style>
  <w:style w:type="character" w:styleId="Utext">
    <w:name w:val="u_text"/>
    <w:qFormat/>
    <w:rPr>
      <w:b w:val="false"/>
      <w:bCs w:val="false"/>
      <w:i w:val="false"/>
      <w:iCs w:val="false"/>
      <w:u w:val="single"/>
    </w:rPr>
  </w:style>
  <w:style w:type="character" w:styleId="Bitext">
    <w:name w:val="bi_text"/>
    <w:qFormat/>
    <w:rPr>
      <w:b/>
      <w:bCs/>
      <w:i/>
      <w:iCs/>
    </w:rPr>
  </w:style>
  <w:style w:type="character" w:styleId="Butext">
    <w:name w:val="bu_text"/>
    <w:qFormat/>
    <w:rPr>
      <w:b/>
      <w:bCs/>
      <w:i w:val="false"/>
      <w:iCs w:val="false"/>
      <w:u w:val="single"/>
    </w:rPr>
  </w:style>
  <w:style w:type="character" w:styleId="Iutext">
    <w:name w:val="iu_text"/>
    <w:qFormat/>
    <w:rPr>
      <w:b w:val="false"/>
      <w:bCs w:val="false"/>
      <w:i/>
      <w:iCs/>
      <w:u w:val="single"/>
    </w:rPr>
  </w:style>
  <w:style w:type="character" w:styleId="Biutext">
    <w:name w:val="biu_text"/>
    <w:qFormat/>
    <w:rPr>
      <w:b/>
      <w:bCs/>
      <w:i/>
      <w:iCs/>
      <w:u w:val="single"/>
    </w:rPr>
  </w:style>
  <w:style w:type="character" w:styleId="Heading1text">
    <w:name w:val="heading1_text"/>
    <w:qFormat/>
    <w:rPr>
      <w:b/>
      <w:bCs/>
      <w:sz w:val="32"/>
      <w:szCs w:val="32"/>
    </w:rPr>
  </w:style>
  <w:style w:type="character" w:styleId="Supertext">
    <w:name w:val="super_text"/>
    <w:qFormat/>
    <w:rPr>
      <w:b w:val="false"/>
      <w:bCs w:val="false"/>
      <w:i w:val="false"/>
      <w:iCs w:val="false"/>
      <w:vertAlign w:val="superscript"/>
    </w:rPr>
  </w:style>
  <w:style w:type="character" w:styleId="FootnoteCharacters">
    <w:name w:val="Footnote Characters"/>
    <w:qFormat/>
    <w:rPr/>
  </w:style>
  <w:style w:type="character" w:styleId="EndnoteCharacters">
    <w:name w:val="Endnote Characters"/>
    <w:qFormat/>
    <w:rPr/>
  </w:style>
  <w:style w:type="paragraph" w:styleId="Hangingindent">
    <w:name w:val="hanging_indent"/>
    <w:qFormat/>
    <w:pPr>
      <w:widowControl w:val="false"/>
      <w:kinsoku w:val="true"/>
      <w:overflowPunct w:val="true"/>
      <w:autoSpaceDE w:val="true"/>
      <w:bidi w:val="0"/>
    </w:pPr>
    <w:rPr>
      <w:rFonts w:ascii="Times" w:hAnsi="Times" w:eastAsia="Bitstream Vera Sans" w:cs="Lucidasans"/>
      <w:b w:val="false"/>
      <w:bCs w:val="false"/>
      <w:i w:val="false"/>
      <w:iCs w:val="false"/>
      <w:color w:val="auto"/>
      <w:sz w:val="24"/>
      <w:szCs w:val="24"/>
      <w:lang w:val="en-US" w:eastAsia="en-US" w:bidi="en-US"/>
    </w:rPr>
  </w:style>
  <w:style w:type="paragraph" w:styleId="Normal1">
    <w:name w:val="LO-normal"/>
    <w:basedOn w:val="Normal"/>
    <w:qFormat/>
    <w:pPr/>
    <w:rPr>
      <w:b w:val="false"/>
      <w:bCs w:val="false"/>
      <w:i w:val="false"/>
      <w:iCs w:val="false"/>
    </w:rPr>
  </w:style>
  <w:style w:type="paragraph" w:styleId="Blankline">
    <w:name w:val="blank_line"/>
    <w:basedOn w:val="Normal"/>
    <w:qFormat/>
    <w:pPr/>
    <w:rPr>
      <w:b w:val="false"/>
      <w:bCs w:val="false"/>
      <w:i w:val="false"/>
      <w:iCs w:val="false"/>
    </w:rPr>
  </w:style>
  <w:style w:type="paragraph" w:styleId="Pagebreak">
    <w:name w:val="page_break"/>
    <w:basedOn w:val="Normal"/>
    <w:qFormat/>
    <w:pPr>
      <w:pageBreakBefore/>
    </w:pPr>
    <w:rPr>
      <w:b w:val="false"/>
      <w:bCs w:val="false"/>
      <w:i w:val="false"/>
      <w:iCs w:val="false"/>
    </w:rPr>
  </w:style>
  <w:style w:type="paragraph" w:styleId="Room">
    <w:name w:val="room"/>
    <w:basedOn w:val="Normal"/>
    <w:qFormat/>
    <w:pPr>
      <w:jc w:val="right"/>
    </w:pPr>
    <w:rPr>
      <w:b w:val="false"/>
      <w:bCs w:val="false"/>
      <w:i w:val="false"/>
      <w:iCs w:val="false"/>
      <w:sz w:val="12"/>
      <w:szCs w:val="12"/>
    </w:rPr>
  </w:style>
  <w:style w:type="paragraph" w:styleId="Event">
    <w:name w:val="event"/>
    <w:basedOn w:val="Normal"/>
    <w:qFormat/>
    <w:pPr>
      <w:jc w:val="left"/>
    </w:pPr>
    <w:rPr>
      <w:b w:val="false"/>
      <w:bCs w:val="false"/>
      <w:i w:val="false"/>
      <w:iCs w:val="false"/>
      <w:sz w:val="12"/>
      <w:szCs w:val="12"/>
    </w:rPr>
  </w:style>
  <w:style w:type="paragraph" w:styleId="Eventtime">
    <w:name w:val="event_time"/>
    <w:basedOn w:val="Normal"/>
    <w:qFormat/>
    <w:pPr>
      <w:jc w:val="center"/>
    </w:pPr>
    <w:rPr>
      <w:b w:val="false"/>
      <w:bCs w:val="false"/>
      <w:i w:val="false"/>
      <w:iCs w:val="false"/>
      <w:sz w:val="12"/>
      <w:szCs w:val="12"/>
    </w:rPr>
  </w:style>
  <w:style w:type="paragraph" w:styleId="Calendartime">
    <w:name w:val="calendar_time"/>
    <w:basedOn w:val="Normal"/>
    <w:qFormat/>
    <w:pPr>
      <w:jc w:val="center"/>
    </w:pPr>
    <w:rPr>
      <w:b w:val="false"/>
      <w:bCs w:val="false"/>
      <w:i w:val="false"/>
      <w:iCs w:val="false"/>
      <w:sz w:val="12"/>
      <w:szCs w:val="12"/>
    </w:rPr>
  </w:style>
  <w:style w:type="paragraph" w:styleId="Calendarminute">
    <w:name w:val="calendar_minute"/>
    <w:basedOn w:val="Normal"/>
    <w:qFormat/>
    <w:pPr>
      <w:jc w:val="center"/>
    </w:pPr>
    <w:rPr>
      <w:b w:val="false"/>
      <w:bCs w:val="false"/>
      <w:i w:val="false"/>
      <w:iCs w:val="false"/>
      <w:sz w:val="12"/>
      <w:szCs w:val="12"/>
    </w:rPr>
  </w:style>
  <w:style w:type="paragraph" w:styleId="HeaderandFooter">
    <w:name w:val="Header and Footer"/>
    <w:basedOn w:val="Normal"/>
    <w:qFormat/>
    <w:pPr>
      <w:suppressLineNumbers/>
      <w:tabs>
        <w:tab w:val="clear" w:pos="567"/>
        <w:tab w:val="center" w:pos="3628" w:leader="none"/>
        <w:tab w:val="right" w:pos="7257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Normal2">
    <w:name w:val="normal"/>
    <w:qFormat/>
  </w:style>
  <w:style w:type="numbering" w:styleId="Bullet">
    <w:name w:val="bulle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73</TotalTime>
  <Application>LibreOffice/6.4.7.2$Linux_X86_64 LibreOffice_project/40$Build-2</Application>
  <Pages>1</Pages>
  <Words>92</Words>
  <CharactersWithSpaces>490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2005-01-17T15:34:39Z</dcterms:created>
  <dc:creator/>
  <dc:description/>
  <dc:language>en-US</dc:language>
  <cp:lastModifiedBy/>
  <dcterms:modified xsi:type="dcterms:W3CDTF">2005-01-17T16:48:02Z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